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FD3B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3C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3D" w14:textId="34C1DFD6" w:rsidR="002B4801" w:rsidRDefault="002B4801" w:rsidP="002B48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Bandeau série </w:t>
      </w:r>
      <w:r w:rsidR="0079614A">
        <w:rPr>
          <w:rFonts w:ascii="Arial" w:hAnsi="Arial" w:cs="Arial"/>
          <w:b/>
          <w:sz w:val="26"/>
          <w:szCs w:val="26"/>
        </w:rPr>
        <w:t>7000 DAS</w:t>
      </w:r>
    </w:p>
    <w:p w14:paraId="5A8DFD3E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3F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40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41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42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43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5A8DFD44" w14:textId="77777777" w:rsidR="002B4801" w:rsidRPr="003200AB" w:rsidRDefault="002B4801" w:rsidP="002B4801">
      <w:pPr>
        <w:rPr>
          <w:rFonts w:ascii="Arial" w:hAnsi="Arial" w:cs="Arial"/>
          <w:b/>
          <w:sz w:val="22"/>
          <w:szCs w:val="22"/>
          <w:u w:val="single"/>
        </w:rPr>
      </w:pPr>
      <w:r w:rsidRPr="003200AB">
        <w:rPr>
          <w:rFonts w:ascii="Arial" w:hAnsi="Arial" w:cs="Arial"/>
          <w:b/>
          <w:sz w:val="22"/>
          <w:szCs w:val="22"/>
          <w:u w:val="single"/>
        </w:rPr>
        <w:t>Descriptif court :</w:t>
      </w:r>
    </w:p>
    <w:p w14:paraId="5A8DFD45" w14:textId="77777777" w:rsidR="002B4801" w:rsidRPr="002B4801" w:rsidRDefault="002B4801" w:rsidP="002B4801">
      <w:pPr>
        <w:rPr>
          <w:color w:val="1F497D"/>
          <w:sz w:val="22"/>
          <w:szCs w:val="22"/>
        </w:rPr>
      </w:pPr>
      <w:r w:rsidRPr="002B4801">
        <w:rPr>
          <w:color w:val="1F497D"/>
          <w:sz w:val="22"/>
          <w:szCs w:val="22"/>
        </w:rPr>
        <w:t> </w:t>
      </w:r>
    </w:p>
    <w:p w14:paraId="5A8DFD46" w14:textId="46527258" w:rsidR="002B4801" w:rsidRPr="002B4801" w:rsidRDefault="002B4801" w:rsidP="002B4801">
      <w:pPr>
        <w:jc w:val="both"/>
        <w:rPr>
          <w:rFonts w:ascii="Arial" w:hAnsi="Arial" w:cs="Arial"/>
          <w:sz w:val="22"/>
          <w:szCs w:val="22"/>
        </w:rPr>
      </w:pPr>
      <w:r w:rsidRPr="002B4801">
        <w:rPr>
          <w:rFonts w:ascii="Arial" w:hAnsi="Arial" w:cs="Arial"/>
          <w:b/>
          <w:bCs/>
          <w:sz w:val="22"/>
          <w:szCs w:val="22"/>
        </w:rPr>
        <w:t xml:space="preserve">Pack bandeau sélecteur série </w:t>
      </w:r>
      <w:r w:rsidR="0079614A">
        <w:rPr>
          <w:rFonts w:ascii="Arial" w:hAnsi="Arial" w:cs="Arial"/>
          <w:b/>
          <w:bCs/>
          <w:sz w:val="22"/>
          <w:szCs w:val="22"/>
        </w:rPr>
        <w:t>7</w:t>
      </w:r>
      <w:r w:rsidRPr="002B4801">
        <w:rPr>
          <w:rFonts w:ascii="Arial" w:hAnsi="Arial" w:cs="Arial"/>
          <w:b/>
          <w:bCs/>
          <w:sz w:val="22"/>
          <w:szCs w:val="22"/>
        </w:rPr>
        <w:t>000</w:t>
      </w:r>
      <w:r w:rsidRPr="002B4801">
        <w:rPr>
          <w:rFonts w:ascii="Arial" w:hAnsi="Arial" w:cs="Arial"/>
          <w:sz w:val="22"/>
          <w:szCs w:val="22"/>
        </w:rPr>
        <w:t xml:space="preserve"> </w:t>
      </w:r>
      <w:r w:rsidRPr="002B4801">
        <w:rPr>
          <w:rFonts w:ascii="Arial" w:hAnsi="Arial" w:cs="Arial"/>
          <w:b/>
          <w:bCs/>
          <w:sz w:val="22"/>
          <w:szCs w:val="22"/>
        </w:rPr>
        <w:t xml:space="preserve">CE </w:t>
      </w:r>
      <w:r w:rsidR="0079614A">
        <w:rPr>
          <w:rFonts w:ascii="Arial" w:hAnsi="Arial" w:cs="Arial"/>
          <w:b/>
          <w:bCs/>
          <w:sz w:val="22"/>
          <w:szCs w:val="22"/>
        </w:rPr>
        <w:t xml:space="preserve">DAS </w:t>
      </w:r>
      <w:r w:rsidRPr="002B4801">
        <w:rPr>
          <w:rFonts w:ascii="Arial" w:hAnsi="Arial" w:cs="Arial"/>
          <w:b/>
          <w:bCs/>
          <w:sz w:val="22"/>
          <w:szCs w:val="22"/>
        </w:rPr>
        <w:t>BRICARD</w:t>
      </w:r>
      <w:r w:rsidR="00D22C7E">
        <w:rPr>
          <w:rFonts w:ascii="Arial" w:hAnsi="Arial" w:cs="Arial"/>
          <w:b/>
          <w:bCs/>
          <w:sz w:val="22"/>
          <w:szCs w:val="22"/>
        </w:rPr>
        <w:t xml:space="preserve"> </w:t>
      </w:r>
      <w:r w:rsidR="00D22C7E" w:rsidRPr="00D22C7E">
        <w:rPr>
          <w:rFonts w:ascii="Arial" w:hAnsi="Arial" w:cs="Arial"/>
          <w:sz w:val="22"/>
          <w:szCs w:val="22"/>
        </w:rPr>
        <w:t>intégrant un déclencheur électromagnétique, asservie au SSI/CMSI</w:t>
      </w:r>
      <w:r w:rsidR="003200AB">
        <w:rPr>
          <w:rFonts w:ascii="Arial" w:hAnsi="Arial" w:cs="Arial"/>
          <w:sz w:val="22"/>
          <w:szCs w:val="22"/>
        </w:rPr>
        <w:t xml:space="preserve">, répondant </w:t>
      </w:r>
      <w:proofErr w:type="spellStart"/>
      <w:r w:rsidR="003200AB">
        <w:rPr>
          <w:rFonts w:ascii="Arial" w:hAnsi="Arial" w:cs="Arial"/>
          <w:sz w:val="22"/>
          <w:szCs w:val="22"/>
        </w:rPr>
        <w:t>a</w:t>
      </w:r>
      <w:proofErr w:type="spellEnd"/>
      <w:r w:rsidR="003200AB">
        <w:rPr>
          <w:rFonts w:ascii="Arial" w:hAnsi="Arial" w:cs="Arial"/>
          <w:sz w:val="22"/>
          <w:szCs w:val="22"/>
        </w:rPr>
        <w:t xml:space="preserve"> la norme NFS61937-1,</w:t>
      </w:r>
      <w:r w:rsidRPr="002B4801">
        <w:rPr>
          <w:rFonts w:ascii="Arial" w:hAnsi="Arial" w:cs="Arial"/>
          <w:sz w:val="22"/>
          <w:szCs w:val="22"/>
        </w:rPr>
        <w:t xml:space="preserve"> comprenant 2 ferme-portes FP </w:t>
      </w:r>
      <w:proofErr w:type="gramStart"/>
      <w:r w:rsidRPr="002B4801">
        <w:rPr>
          <w:rFonts w:ascii="Arial" w:hAnsi="Arial" w:cs="Arial"/>
          <w:sz w:val="22"/>
          <w:szCs w:val="22"/>
        </w:rPr>
        <w:t>645</w:t>
      </w:r>
      <w:r w:rsidR="006812D4">
        <w:rPr>
          <w:rFonts w:ascii="Arial" w:hAnsi="Arial" w:cs="Arial"/>
          <w:sz w:val="22"/>
          <w:szCs w:val="22"/>
        </w:rPr>
        <w:t xml:space="preserve">, </w:t>
      </w:r>
      <w:r w:rsidR="0079614A">
        <w:rPr>
          <w:rFonts w:ascii="Arial" w:hAnsi="Arial" w:cs="Arial"/>
          <w:sz w:val="22"/>
          <w:szCs w:val="22"/>
        </w:rPr>
        <w:t xml:space="preserve"> 647</w:t>
      </w:r>
      <w:proofErr w:type="gramEnd"/>
      <w:r w:rsidR="0079614A">
        <w:rPr>
          <w:rFonts w:ascii="Arial" w:hAnsi="Arial" w:cs="Arial"/>
          <w:sz w:val="22"/>
          <w:szCs w:val="22"/>
        </w:rPr>
        <w:t xml:space="preserve"> </w:t>
      </w:r>
      <w:r w:rsidR="006812D4">
        <w:rPr>
          <w:rFonts w:ascii="Arial" w:hAnsi="Arial" w:cs="Arial"/>
          <w:sz w:val="22"/>
          <w:szCs w:val="22"/>
        </w:rPr>
        <w:t xml:space="preserve">ou 648 </w:t>
      </w:r>
      <w:r w:rsidRPr="002B4801">
        <w:rPr>
          <w:rFonts w:ascii="Arial" w:hAnsi="Arial" w:cs="Arial"/>
          <w:sz w:val="22"/>
          <w:szCs w:val="22"/>
        </w:rPr>
        <w:t>CE</w:t>
      </w:r>
      <w:r w:rsidR="0079614A">
        <w:rPr>
          <w:rFonts w:ascii="Arial" w:hAnsi="Arial" w:cs="Arial"/>
          <w:sz w:val="22"/>
          <w:szCs w:val="22"/>
        </w:rPr>
        <w:t xml:space="preserve"> </w:t>
      </w:r>
      <w:r w:rsidRPr="002B4801">
        <w:rPr>
          <w:rFonts w:ascii="Arial" w:hAnsi="Arial" w:cs="Arial"/>
          <w:sz w:val="22"/>
          <w:szCs w:val="22"/>
        </w:rPr>
        <w:t>BRICARD, rail avec sélecteur</w:t>
      </w:r>
      <w:r w:rsidR="0079614A">
        <w:rPr>
          <w:rFonts w:ascii="Arial" w:hAnsi="Arial" w:cs="Arial"/>
          <w:sz w:val="22"/>
          <w:szCs w:val="22"/>
        </w:rPr>
        <w:t xml:space="preserve">, avec arrêt électro-magnétique </w:t>
      </w:r>
      <w:r w:rsidRPr="002B4801">
        <w:rPr>
          <w:rFonts w:ascii="Arial" w:hAnsi="Arial" w:cs="Arial"/>
          <w:sz w:val="22"/>
          <w:szCs w:val="22"/>
        </w:rPr>
        <w:t xml:space="preserve">et </w:t>
      </w:r>
      <w:r w:rsidR="0079614A">
        <w:rPr>
          <w:rFonts w:ascii="Arial" w:hAnsi="Arial" w:cs="Arial"/>
          <w:sz w:val="22"/>
          <w:szCs w:val="22"/>
        </w:rPr>
        <w:t xml:space="preserve">en option un </w:t>
      </w:r>
      <w:r w:rsidRPr="002B4801">
        <w:rPr>
          <w:rFonts w:ascii="Arial" w:hAnsi="Arial" w:cs="Arial"/>
          <w:sz w:val="22"/>
          <w:szCs w:val="22"/>
        </w:rPr>
        <w:t>dispositif anti-fausse manœuvre</w:t>
      </w:r>
      <w:r w:rsidR="003200AB">
        <w:rPr>
          <w:rFonts w:ascii="Arial" w:hAnsi="Arial" w:cs="Arial"/>
          <w:sz w:val="22"/>
          <w:szCs w:val="22"/>
        </w:rPr>
        <w:t>.</w:t>
      </w:r>
    </w:p>
    <w:p w14:paraId="5A8DFD47" w14:textId="2CB953BA" w:rsidR="002B4801" w:rsidRDefault="003200AB" w:rsidP="002B48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fermes portes 645 ou 647 peuvent </w:t>
      </w:r>
      <w:proofErr w:type="spellStart"/>
      <w:r>
        <w:rPr>
          <w:rFonts w:ascii="Arial" w:hAnsi="Arial" w:cs="Arial"/>
          <w:sz w:val="22"/>
          <w:szCs w:val="22"/>
        </w:rPr>
        <w:t>etre</w:t>
      </w:r>
      <w:proofErr w:type="spellEnd"/>
      <w:r>
        <w:rPr>
          <w:rFonts w:ascii="Arial" w:hAnsi="Arial" w:cs="Arial"/>
          <w:sz w:val="22"/>
          <w:szCs w:val="22"/>
        </w:rPr>
        <w:t xml:space="preserve"> harmonisés sur l’ensemble du projet, de t</w:t>
      </w:r>
      <w:r w:rsidR="002B4801" w:rsidRPr="002B4801">
        <w:rPr>
          <w:rFonts w:ascii="Arial" w:hAnsi="Arial" w:cs="Arial"/>
          <w:sz w:val="22"/>
          <w:szCs w:val="22"/>
        </w:rPr>
        <w:t xml:space="preserve">echnologie pignon crémaillère </w:t>
      </w:r>
      <w:r w:rsidR="0079614A" w:rsidRPr="002B4801">
        <w:rPr>
          <w:rFonts w:ascii="Arial" w:hAnsi="Arial" w:cs="Arial"/>
          <w:sz w:val="22"/>
          <w:szCs w:val="22"/>
        </w:rPr>
        <w:t>excentré, EI</w:t>
      </w:r>
      <w:r w:rsidR="002B4801" w:rsidRPr="002B4801">
        <w:rPr>
          <w:rFonts w:ascii="Arial" w:hAnsi="Arial" w:cs="Arial"/>
          <w:sz w:val="22"/>
          <w:szCs w:val="22"/>
        </w:rPr>
        <w:t xml:space="preserve"> 60, force réglable 1 à 3</w:t>
      </w:r>
      <w:r w:rsidR="00D22C7E">
        <w:rPr>
          <w:rFonts w:ascii="Arial" w:hAnsi="Arial" w:cs="Arial"/>
          <w:sz w:val="22"/>
          <w:szCs w:val="22"/>
        </w:rPr>
        <w:t> (645)</w:t>
      </w:r>
      <w:r w:rsidR="006812D4">
        <w:rPr>
          <w:rFonts w:ascii="Arial" w:hAnsi="Arial" w:cs="Arial"/>
          <w:sz w:val="22"/>
          <w:szCs w:val="22"/>
        </w:rPr>
        <w:t xml:space="preserve">, </w:t>
      </w:r>
      <w:r w:rsidR="0079614A">
        <w:rPr>
          <w:rFonts w:ascii="Arial" w:hAnsi="Arial" w:cs="Arial"/>
          <w:sz w:val="22"/>
          <w:szCs w:val="22"/>
        </w:rPr>
        <w:t xml:space="preserve">1 à 4 </w:t>
      </w:r>
      <w:r w:rsidR="00D22C7E">
        <w:rPr>
          <w:rFonts w:ascii="Arial" w:hAnsi="Arial" w:cs="Arial"/>
          <w:sz w:val="22"/>
          <w:szCs w:val="22"/>
        </w:rPr>
        <w:t>(647)</w:t>
      </w:r>
      <w:r w:rsidR="006812D4">
        <w:rPr>
          <w:rFonts w:ascii="Arial" w:hAnsi="Arial" w:cs="Arial"/>
          <w:sz w:val="22"/>
          <w:szCs w:val="22"/>
        </w:rPr>
        <w:t xml:space="preserve"> ou 2 à 5 (648)</w:t>
      </w:r>
      <w:r w:rsidR="00D22C7E">
        <w:rPr>
          <w:rFonts w:ascii="Arial" w:hAnsi="Arial" w:cs="Arial"/>
          <w:sz w:val="22"/>
          <w:szCs w:val="22"/>
        </w:rPr>
        <w:t xml:space="preserve"> </w:t>
      </w:r>
      <w:r w:rsidR="00097E18" w:rsidRPr="002B4801">
        <w:rPr>
          <w:rFonts w:ascii="Arial" w:hAnsi="Arial" w:cs="Arial"/>
          <w:sz w:val="22"/>
          <w:szCs w:val="22"/>
        </w:rPr>
        <w:t>répondants</w:t>
      </w:r>
      <w:r w:rsidR="002B4801" w:rsidRPr="002B4801">
        <w:rPr>
          <w:rFonts w:ascii="Arial" w:hAnsi="Arial" w:cs="Arial"/>
          <w:sz w:val="22"/>
          <w:szCs w:val="22"/>
        </w:rPr>
        <w:t xml:space="preserve"> aux exigences de la loi Handicapés et Personnes à Mobilité Réduite et à la norme produit NF EN 1158</w:t>
      </w:r>
      <w:r>
        <w:rPr>
          <w:rFonts w:ascii="Arial" w:hAnsi="Arial" w:cs="Arial"/>
          <w:sz w:val="22"/>
          <w:szCs w:val="22"/>
        </w:rPr>
        <w:t xml:space="preserve"> </w:t>
      </w:r>
      <w:r w:rsidR="0079614A">
        <w:rPr>
          <w:rFonts w:ascii="Arial" w:hAnsi="Arial" w:cs="Arial"/>
          <w:sz w:val="22"/>
          <w:szCs w:val="22"/>
        </w:rPr>
        <w:t>et EN 1155</w:t>
      </w:r>
      <w:r w:rsidR="002B4801" w:rsidRPr="002B4801">
        <w:rPr>
          <w:rFonts w:ascii="Arial" w:hAnsi="Arial" w:cs="Arial"/>
          <w:sz w:val="22"/>
          <w:szCs w:val="22"/>
        </w:rPr>
        <w:t xml:space="preserve">, garantie </w:t>
      </w:r>
      <w:r w:rsidR="007C03A6">
        <w:rPr>
          <w:rFonts w:ascii="Arial" w:hAnsi="Arial" w:cs="Arial"/>
          <w:sz w:val="22"/>
          <w:szCs w:val="22"/>
        </w:rPr>
        <w:t>2</w:t>
      </w:r>
      <w:r w:rsidR="002B4801" w:rsidRPr="002B4801">
        <w:rPr>
          <w:rFonts w:ascii="Arial" w:hAnsi="Arial" w:cs="Arial"/>
          <w:sz w:val="22"/>
          <w:szCs w:val="22"/>
        </w:rPr>
        <w:t xml:space="preserve"> ans.</w:t>
      </w:r>
    </w:p>
    <w:p w14:paraId="192190FE" w14:textId="77777777" w:rsidR="003200AB" w:rsidRPr="003200AB" w:rsidRDefault="003200AB" w:rsidP="003200AB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3200AB">
        <w:rPr>
          <w:rFonts w:ascii="Arial" w:hAnsi="Arial" w:cs="Arial"/>
          <w:sz w:val="22"/>
          <w:szCs w:val="22"/>
          <w:u w:val="single"/>
        </w:rPr>
        <w:t>Raccordement</w:t>
      </w:r>
    </w:p>
    <w:p w14:paraId="37C410E7" w14:textId="77777777" w:rsidR="003200AB" w:rsidRPr="003200AB" w:rsidRDefault="003200AB" w:rsidP="003200AB">
      <w:pPr>
        <w:jc w:val="both"/>
        <w:rPr>
          <w:rFonts w:ascii="Arial" w:hAnsi="Arial" w:cs="Arial"/>
          <w:sz w:val="22"/>
          <w:szCs w:val="22"/>
        </w:rPr>
      </w:pPr>
      <w:r w:rsidRPr="003200AB">
        <w:rPr>
          <w:rFonts w:ascii="Arial" w:hAnsi="Arial" w:cs="Arial"/>
          <w:sz w:val="22"/>
          <w:szCs w:val="22"/>
        </w:rPr>
        <w:t xml:space="preserve">Raccordement électrique à prévoir au présent lot depuis alimentation 24 ou 48v laissée en attente à proximité par l'Entrepreneur du lot Electricité. </w:t>
      </w:r>
    </w:p>
    <w:p w14:paraId="439251D4" w14:textId="77C94355" w:rsidR="003200AB" w:rsidRPr="002B4801" w:rsidRDefault="003200AB" w:rsidP="003200AB">
      <w:pPr>
        <w:jc w:val="both"/>
        <w:rPr>
          <w:rFonts w:ascii="Arial" w:hAnsi="Arial" w:cs="Arial"/>
          <w:sz w:val="22"/>
          <w:szCs w:val="22"/>
        </w:rPr>
      </w:pPr>
      <w:r w:rsidRPr="003200AB">
        <w:rPr>
          <w:rFonts w:ascii="Arial" w:hAnsi="Arial" w:cs="Arial"/>
          <w:sz w:val="22"/>
          <w:szCs w:val="22"/>
        </w:rPr>
        <w:t>Raccordement à la S.S.I / C.M.S.I prévu par l’Entrepreneur du lot Electricité.</w:t>
      </w:r>
    </w:p>
    <w:p w14:paraId="5A8DFD48" w14:textId="2665DCC4" w:rsidR="00FA359D" w:rsidRPr="002B4801" w:rsidRDefault="00FA359D" w:rsidP="002B4801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A8DFD49" w14:textId="35793A52" w:rsid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0BA507E3" w14:textId="73231C30" w:rsidR="00F57AA6" w:rsidRDefault="00F57AA6" w:rsidP="00F57AA6"/>
    <w:p w14:paraId="212A4588" w14:textId="13B2908A" w:rsidR="00F57AA6" w:rsidRDefault="00F57AA6" w:rsidP="00F57AA6"/>
    <w:p w14:paraId="1B404A46" w14:textId="2EAA1374" w:rsidR="00F57AA6" w:rsidRDefault="00F57AA6" w:rsidP="00F57AA6"/>
    <w:p w14:paraId="778D0C4B" w14:textId="5A02F087" w:rsidR="00F57AA6" w:rsidRDefault="00F57AA6" w:rsidP="00F57AA6"/>
    <w:p w14:paraId="7DA07906" w14:textId="293D8B9B" w:rsidR="00F57AA6" w:rsidRDefault="00F57AA6" w:rsidP="00F57AA6"/>
    <w:p w14:paraId="61D6D966" w14:textId="053313CA" w:rsidR="00F57AA6" w:rsidRDefault="00F57AA6" w:rsidP="00F57AA6"/>
    <w:p w14:paraId="7C4F9035" w14:textId="06BF3E66" w:rsidR="00F57AA6" w:rsidRDefault="001062EB" w:rsidP="00F57AA6">
      <w:r w:rsidRPr="00F57AA6">
        <w:rPr>
          <w:noProof/>
        </w:rPr>
        <w:drawing>
          <wp:anchor distT="0" distB="0" distL="114300" distR="114300" simplePos="0" relativeHeight="251658240" behindDoc="0" locked="0" layoutInCell="1" allowOverlap="1" wp14:anchorId="623FDB19" wp14:editId="1082425A">
            <wp:simplePos x="0" y="0"/>
            <wp:positionH relativeFrom="margin">
              <wp:posOffset>-287020</wp:posOffset>
            </wp:positionH>
            <wp:positionV relativeFrom="paragraph">
              <wp:posOffset>149860</wp:posOffset>
            </wp:positionV>
            <wp:extent cx="6374699" cy="2301240"/>
            <wp:effectExtent l="0" t="0" r="762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699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C92CC" w14:textId="58888CA7" w:rsidR="00F57AA6" w:rsidRDefault="00F57AA6" w:rsidP="00F57AA6"/>
    <w:p w14:paraId="0988B5C4" w14:textId="5CB1E489" w:rsidR="00F57AA6" w:rsidRDefault="00F57AA6" w:rsidP="00F57AA6"/>
    <w:p w14:paraId="2F994EC9" w14:textId="277047E4" w:rsidR="00F57AA6" w:rsidRDefault="00F57AA6" w:rsidP="00F57AA6"/>
    <w:p w14:paraId="1982CBA0" w14:textId="49CA6BC7" w:rsidR="00F57AA6" w:rsidRDefault="00F57AA6" w:rsidP="00F57AA6"/>
    <w:p w14:paraId="75958309" w14:textId="03D0F6FF" w:rsidR="00F57AA6" w:rsidRDefault="00F57AA6" w:rsidP="00F57AA6"/>
    <w:p w14:paraId="02A03888" w14:textId="57A56D1B" w:rsidR="00F57AA6" w:rsidRDefault="00F57AA6" w:rsidP="00F57AA6"/>
    <w:p w14:paraId="00578B64" w14:textId="398B38FF" w:rsidR="00F57AA6" w:rsidRDefault="00F57AA6" w:rsidP="00F57AA6"/>
    <w:p w14:paraId="2D1654EC" w14:textId="4CC4B222" w:rsidR="00F57AA6" w:rsidRDefault="00F57AA6" w:rsidP="00F57AA6"/>
    <w:p w14:paraId="30F2985F" w14:textId="65CC3C11" w:rsidR="00F57AA6" w:rsidRDefault="00F57AA6" w:rsidP="00F57AA6"/>
    <w:p w14:paraId="672943EC" w14:textId="351F9638" w:rsidR="00F57AA6" w:rsidRDefault="00F57AA6" w:rsidP="00F57AA6"/>
    <w:p w14:paraId="17D2A1E3" w14:textId="06993625" w:rsidR="00F57AA6" w:rsidRDefault="00F57AA6" w:rsidP="00F57AA6"/>
    <w:p w14:paraId="3EBED127" w14:textId="396AA959" w:rsidR="00F57AA6" w:rsidRDefault="00F57AA6" w:rsidP="00F57AA6"/>
    <w:p w14:paraId="4BEF8F8D" w14:textId="4062F45B" w:rsidR="00F57AA6" w:rsidRDefault="00F57AA6" w:rsidP="00F57AA6"/>
    <w:p w14:paraId="2F45229F" w14:textId="0A4E0641" w:rsidR="00F57AA6" w:rsidRDefault="00F57AA6" w:rsidP="00F57AA6"/>
    <w:p w14:paraId="6E52B2F1" w14:textId="75A7C4C1" w:rsidR="00F57AA6" w:rsidRDefault="00F57AA6" w:rsidP="00F57AA6"/>
    <w:p w14:paraId="40340E09" w14:textId="280B34BB" w:rsidR="00F57AA6" w:rsidRDefault="00F57AA6" w:rsidP="00F57AA6"/>
    <w:p w14:paraId="50F2AC05" w14:textId="08BE1D9A" w:rsidR="00F57AA6" w:rsidRDefault="00F57AA6" w:rsidP="00F57AA6"/>
    <w:p w14:paraId="00825200" w14:textId="22906E31" w:rsidR="00F57AA6" w:rsidRDefault="00F57AA6" w:rsidP="00F57AA6"/>
    <w:p w14:paraId="19E01D61" w14:textId="45D3CD78" w:rsidR="00F57AA6" w:rsidRDefault="00F57AA6" w:rsidP="00F57AA6"/>
    <w:p w14:paraId="697E51C4" w14:textId="2E13B434" w:rsidR="00F57AA6" w:rsidRDefault="00F57AA6" w:rsidP="00F57AA6"/>
    <w:p w14:paraId="44F50D3A" w14:textId="080937DA" w:rsidR="00F57AA6" w:rsidRDefault="00F57AA6" w:rsidP="00F57AA6"/>
    <w:p w14:paraId="64B04823" w14:textId="59CC4B6B" w:rsidR="00F57AA6" w:rsidRDefault="00F57AA6" w:rsidP="00F57AA6"/>
    <w:p w14:paraId="0D762682" w14:textId="08B00C84" w:rsidR="00F57AA6" w:rsidRDefault="00F57AA6" w:rsidP="00F57AA6"/>
    <w:p w14:paraId="64DCDBC6" w14:textId="07E82123" w:rsidR="00F57AA6" w:rsidRDefault="00F57AA6" w:rsidP="00F57AA6"/>
    <w:p w14:paraId="6F4BE5E6" w14:textId="4DBF8C82" w:rsidR="00F57AA6" w:rsidRDefault="00F57AA6" w:rsidP="00F57AA6"/>
    <w:p w14:paraId="487E3D0E" w14:textId="2DF91628" w:rsidR="00F57AA6" w:rsidRDefault="00F57AA6" w:rsidP="00F57AA6"/>
    <w:p w14:paraId="47D3CEBA" w14:textId="23AE9960" w:rsidR="00F57AA6" w:rsidRDefault="00F57AA6" w:rsidP="00F57AA6"/>
    <w:p w14:paraId="7C3ECF9D" w14:textId="10AFAEC7" w:rsidR="00F57AA6" w:rsidRDefault="00F57AA6" w:rsidP="00F57AA6"/>
    <w:p w14:paraId="3ED0BBC5" w14:textId="68C0463C" w:rsidR="00F57AA6" w:rsidRDefault="00F57AA6" w:rsidP="00F57AA6"/>
    <w:p w14:paraId="33536B8D" w14:textId="2251CE73" w:rsidR="00F57AA6" w:rsidRDefault="00F57AA6" w:rsidP="00F57AA6"/>
    <w:p w14:paraId="3769DD88" w14:textId="73647661" w:rsidR="00F57AA6" w:rsidRDefault="00F57AA6" w:rsidP="00F57AA6"/>
    <w:p w14:paraId="701E6E7B" w14:textId="5A815FA4" w:rsidR="00F57AA6" w:rsidRDefault="00F57AA6" w:rsidP="00F57AA6"/>
    <w:p w14:paraId="303EF344" w14:textId="7A0745A0" w:rsidR="00F57AA6" w:rsidRDefault="00F57AA6" w:rsidP="00F57AA6"/>
    <w:p w14:paraId="040707BC" w14:textId="1CC06D79" w:rsidR="00F57AA6" w:rsidRDefault="00F57AA6" w:rsidP="00F57AA6"/>
    <w:p w14:paraId="1D347AF3" w14:textId="015D7467" w:rsidR="00F57AA6" w:rsidRDefault="00F57AA6" w:rsidP="00F57AA6"/>
    <w:p w14:paraId="794748C4" w14:textId="3EBF6DA2" w:rsidR="00F57AA6" w:rsidRDefault="00F57AA6" w:rsidP="00F57AA6"/>
    <w:p w14:paraId="50DDAA8E" w14:textId="77777777" w:rsidR="00F57AA6" w:rsidRPr="00F57AA6" w:rsidRDefault="00F57AA6" w:rsidP="00F57AA6"/>
    <w:p w14:paraId="665BB6B8" w14:textId="34C1FD26" w:rsidR="003200AB" w:rsidRPr="003200AB" w:rsidRDefault="003200AB" w:rsidP="003200AB">
      <w:pPr>
        <w:rPr>
          <w:rFonts w:ascii="Arial" w:hAnsi="Arial" w:cs="Arial"/>
          <w:b/>
          <w:sz w:val="22"/>
          <w:szCs w:val="22"/>
          <w:u w:val="single"/>
        </w:rPr>
      </w:pPr>
      <w:r w:rsidRPr="003200AB">
        <w:rPr>
          <w:rFonts w:ascii="Arial" w:hAnsi="Arial" w:cs="Arial"/>
          <w:b/>
          <w:sz w:val="22"/>
          <w:szCs w:val="22"/>
          <w:u w:val="single"/>
        </w:rPr>
        <w:t xml:space="preserve">Descriptif </w:t>
      </w:r>
      <w:r>
        <w:rPr>
          <w:rFonts w:ascii="Arial" w:hAnsi="Arial" w:cs="Arial"/>
          <w:b/>
          <w:sz w:val="22"/>
          <w:szCs w:val="22"/>
          <w:u w:val="single"/>
        </w:rPr>
        <w:t>long</w:t>
      </w:r>
      <w:r w:rsidRPr="003200AB">
        <w:rPr>
          <w:rFonts w:ascii="Arial" w:hAnsi="Arial" w:cs="Arial"/>
          <w:b/>
          <w:sz w:val="22"/>
          <w:szCs w:val="22"/>
          <w:u w:val="single"/>
        </w:rPr>
        <w:t> :</w:t>
      </w:r>
    </w:p>
    <w:p w14:paraId="5A8DFD4A" w14:textId="111965A9" w:rsidR="002C6E44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p w14:paraId="708663FE" w14:textId="37926491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Ce type de bandeau s’installe en applique, côté paumelles, ou opposé aux paumelles sur l’huisserie d’un bloc-porte battant à deux</w:t>
      </w:r>
      <w:r w:rsid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vantaux.</w:t>
      </w:r>
    </w:p>
    <w:p w14:paraId="6EB70659" w14:textId="77777777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Il est composé principalement des éléments suivants :</w:t>
      </w:r>
    </w:p>
    <w:p w14:paraId="63F44960" w14:textId="666CBB25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- Une glissière installée au-dessus du vantail principal. Cette glissière n’est équipée d’aucun dispositif de retenue électromagnétique. Un capotage en aluminium vient s’emboîter sur cette glissière.</w:t>
      </w:r>
    </w:p>
    <w:p w14:paraId="32E8F43F" w14:textId="184D39CD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- Une glissière installée au-dessus du vantail semi-fixe. Cette glissière comprend un dispositif de retenue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 xml:space="preserve">électromagnétique fonctionnant à rupture de courant en 24 </w:t>
      </w:r>
      <w:proofErr w:type="spellStart"/>
      <w:r w:rsidRPr="00F57AA6">
        <w:rPr>
          <w:rFonts w:ascii="Arial" w:hAnsi="Arial" w:cs="Arial"/>
          <w:sz w:val="22"/>
          <w:szCs w:val="22"/>
        </w:rPr>
        <w:t>Vdc</w:t>
      </w:r>
      <w:proofErr w:type="spellEnd"/>
      <w:r w:rsidRPr="00F57AA6">
        <w:rPr>
          <w:rFonts w:ascii="Arial" w:hAnsi="Arial" w:cs="Arial"/>
          <w:sz w:val="22"/>
          <w:szCs w:val="22"/>
        </w:rPr>
        <w:t>. Une platine électrique est présente à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proximité de ce dispositif de retenue électromagnétique. Ce dispositif électromagnétique est intégré de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sorte à maintenir en position ouverte le vantail semi-fixe du bloc-porte à 2 vantaux. La position de l’arrêt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électromagnétique est réglable et permet de maintenir ouvert le vantail semi-fixe pour un angle allant de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70° à 130°. Un capotage en aluminium vient s’emboîter sur cette glissière.</w:t>
      </w:r>
    </w:p>
    <w:p w14:paraId="3F168480" w14:textId="08B58497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- Un sélecteur de fermeture relie les deux glissières précédemment citées. Un capotage en aluminium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vient s’emboîter entre les deux capotages des glissières. Entre chaque capotage est installé un clip en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plastique.</w:t>
      </w:r>
    </w:p>
    <w:p w14:paraId="07C9D445" w14:textId="3CBF2602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- Une carte électronique sur laquelle l’entrée de télécommande provenant du CMSI vient se raccorder.</w:t>
      </w:r>
      <w:r w:rsid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Cette carte accepte une tension d’entrée de 24 ou 48 V. Elle est installée dans un compartiment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spécifique placé à côté d’une des glissières citées ci-dessus. Un clip en pastique est installé entre le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compartiment protégeant cette carte et la glissière.</w:t>
      </w:r>
    </w:p>
    <w:p w14:paraId="2A7BCAB6" w14:textId="5301CD99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Le bras de chaque ferme-porte est fixé d’une part sur le vantail et d’autre part sur le patin présent dans sa</w:t>
      </w:r>
      <w:r w:rsid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glissière associée.</w:t>
      </w:r>
    </w:p>
    <w:p w14:paraId="269CADFF" w14:textId="5F90DEC3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En position d’attente, le vantail semi-fixe est maintenu en position ouverte par l’intermédiaire du dispositif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électromagnétique qui bloque le glissement du patin. Le vantail principal est alors maintenu ouvert par le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sélecteur de fermeture.</w:t>
      </w:r>
    </w:p>
    <w:p w14:paraId="002A608E" w14:textId="63CE1DCA" w:rsidR="00D529DE" w:rsidRPr="00F57AA6" w:rsidRDefault="00D529DE" w:rsidP="00D529DE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F57AA6">
        <w:rPr>
          <w:rFonts w:ascii="Arial" w:hAnsi="Arial" w:cs="Arial"/>
          <w:sz w:val="22"/>
          <w:szCs w:val="22"/>
        </w:rPr>
        <w:t>Suite à un</w:t>
      </w:r>
      <w:proofErr w:type="gramEnd"/>
      <w:r w:rsidRPr="00F57AA6">
        <w:rPr>
          <w:rFonts w:ascii="Arial" w:hAnsi="Arial" w:cs="Arial"/>
          <w:sz w:val="22"/>
          <w:szCs w:val="22"/>
        </w:rPr>
        <w:t xml:space="preserve"> ordre de mise en sécurité par rupture de courant en 24 ou 48 </w:t>
      </w:r>
      <w:proofErr w:type="spellStart"/>
      <w:r w:rsidRPr="00F57AA6">
        <w:rPr>
          <w:rFonts w:ascii="Arial" w:hAnsi="Arial" w:cs="Arial"/>
          <w:sz w:val="22"/>
          <w:szCs w:val="22"/>
        </w:rPr>
        <w:t>Vdc</w:t>
      </w:r>
      <w:proofErr w:type="spellEnd"/>
      <w:r w:rsidRPr="00F57AA6">
        <w:rPr>
          <w:rFonts w:ascii="Arial" w:hAnsi="Arial" w:cs="Arial"/>
          <w:sz w:val="22"/>
          <w:szCs w:val="22"/>
        </w:rPr>
        <w:t xml:space="preserve"> (la carte électronique renvoie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 xml:space="preserve">24 </w:t>
      </w:r>
      <w:proofErr w:type="spellStart"/>
      <w:r w:rsidRPr="00F57AA6">
        <w:rPr>
          <w:rFonts w:ascii="Arial" w:hAnsi="Arial" w:cs="Arial"/>
          <w:sz w:val="22"/>
          <w:szCs w:val="22"/>
        </w:rPr>
        <w:t>Vdc</w:t>
      </w:r>
      <w:proofErr w:type="spellEnd"/>
      <w:r w:rsidRPr="00F57AA6">
        <w:rPr>
          <w:rFonts w:ascii="Arial" w:hAnsi="Arial" w:cs="Arial"/>
          <w:sz w:val="22"/>
          <w:szCs w:val="22"/>
        </w:rPr>
        <w:t xml:space="preserve"> aux bornes de l’électroaimant), le dispositif électromagnétique se déclenche et libère le patin. Le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vantail semi-fixe se ferme alors de manière intrinsèque par l’intermédiaire du ferme-porte. Une fois que le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vantail semi-fixe atteint un certain angle, le vantail principal se ferme.</w:t>
      </w:r>
    </w:p>
    <w:p w14:paraId="0C0F55F9" w14:textId="5901BA18" w:rsidR="003200AB" w:rsidRPr="00F57AA6" w:rsidRDefault="00D529DE" w:rsidP="00F57AA6">
      <w:pPr>
        <w:pStyle w:val="Retraitcorpsdetexte"/>
        <w:spacing w:line="240" w:lineRule="auto"/>
        <w:rPr>
          <w:rFonts w:ascii="Arial" w:hAnsi="Arial" w:cs="Arial"/>
          <w:sz w:val="22"/>
          <w:szCs w:val="22"/>
        </w:rPr>
      </w:pPr>
      <w:r w:rsidRPr="00F57AA6">
        <w:rPr>
          <w:rFonts w:ascii="Arial" w:hAnsi="Arial" w:cs="Arial"/>
          <w:sz w:val="22"/>
          <w:szCs w:val="22"/>
        </w:rPr>
        <w:t>Le câble provenant du CMSI et venant se brancher au niveau de la carte électronique doit être protégé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 xml:space="preserve">mécaniquement (sous </w:t>
      </w:r>
      <w:proofErr w:type="gramStart"/>
      <w:r w:rsidRPr="00F57AA6">
        <w:rPr>
          <w:rFonts w:ascii="Arial" w:hAnsi="Arial" w:cs="Arial"/>
          <w:sz w:val="22"/>
          <w:szCs w:val="22"/>
        </w:rPr>
        <w:t>conduit,…</w:t>
      </w:r>
      <w:proofErr w:type="gramEnd"/>
      <w:r w:rsidRPr="00F57AA6">
        <w:rPr>
          <w:rFonts w:ascii="Arial" w:hAnsi="Arial" w:cs="Arial"/>
          <w:sz w:val="22"/>
          <w:szCs w:val="22"/>
        </w:rPr>
        <w:t>). Il passe par l’huisserie du bloc-porte et débouche directement dans le</w:t>
      </w:r>
      <w:r w:rsidR="00F57AA6" w:rsidRPr="00F57AA6">
        <w:rPr>
          <w:rFonts w:ascii="Arial" w:hAnsi="Arial" w:cs="Arial"/>
          <w:sz w:val="22"/>
          <w:szCs w:val="22"/>
        </w:rPr>
        <w:t xml:space="preserve"> </w:t>
      </w:r>
      <w:r w:rsidRPr="00F57AA6">
        <w:rPr>
          <w:rFonts w:ascii="Arial" w:hAnsi="Arial" w:cs="Arial"/>
          <w:sz w:val="22"/>
          <w:szCs w:val="22"/>
        </w:rPr>
        <w:t>compartiment où est logé la carte électronique.</w:t>
      </w:r>
    </w:p>
    <w:sectPr w:rsidR="003200AB" w:rsidRPr="00F57AA6" w:rsidSect="007F61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83CA" w14:textId="77777777" w:rsidR="00EA0FA0" w:rsidRDefault="00EA0FA0" w:rsidP="00BD7B5D">
      <w:r>
        <w:separator/>
      </w:r>
    </w:p>
  </w:endnote>
  <w:endnote w:type="continuationSeparator" w:id="0">
    <w:p w14:paraId="6B7B8BDA" w14:textId="77777777" w:rsidR="00EA0FA0" w:rsidRDefault="00EA0FA0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FD51" w14:textId="77777777" w:rsidR="00BD7B5D" w:rsidRDefault="00BD7B5D">
    <w:pPr>
      <w:pStyle w:val="Pieddepage"/>
    </w:pPr>
  </w:p>
  <w:p w14:paraId="5A8DFD52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6BCB" w14:textId="77777777" w:rsidR="00EA0FA0" w:rsidRDefault="00EA0FA0" w:rsidP="00BD7B5D">
      <w:r>
        <w:separator/>
      </w:r>
    </w:p>
  </w:footnote>
  <w:footnote w:type="continuationSeparator" w:id="0">
    <w:p w14:paraId="734D73D2" w14:textId="77777777" w:rsidR="00EA0FA0" w:rsidRDefault="00EA0FA0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FD4F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5A8DFD53" wp14:editId="5A8DFD54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DFD55" wp14:editId="5A8DFD5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3CA7B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5A8DFD50" w14:textId="77777777" w:rsidR="003E4A9E" w:rsidRDefault="00E357C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A8DFD57" wp14:editId="5A8DFD58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DFD59" wp14:editId="5A8DFD5A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DFD5B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A8DFD5C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DFD5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5A8DFD5B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5A8DFD5C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97E18"/>
    <w:rsid w:val="001062EB"/>
    <w:rsid w:val="00112D49"/>
    <w:rsid w:val="001B1F6D"/>
    <w:rsid w:val="00212D05"/>
    <w:rsid w:val="002B4801"/>
    <w:rsid w:val="002C6E44"/>
    <w:rsid w:val="003200AB"/>
    <w:rsid w:val="003E4A9E"/>
    <w:rsid w:val="00411D63"/>
    <w:rsid w:val="00482394"/>
    <w:rsid w:val="00573ED2"/>
    <w:rsid w:val="005A07F1"/>
    <w:rsid w:val="006812D4"/>
    <w:rsid w:val="00737EA3"/>
    <w:rsid w:val="00791FCB"/>
    <w:rsid w:val="0079614A"/>
    <w:rsid w:val="007C03A6"/>
    <w:rsid w:val="007F1E9F"/>
    <w:rsid w:val="007F614B"/>
    <w:rsid w:val="0089474E"/>
    <w:rsid w:val="00A84683"/>
    <w:rsid w:val="00BD7B5D"/>
    <w:rsid w:val="00D22C7E"/>
    <w:rsid w:val="00D529DE"/>
    <w:rsid w:val="00E357C4"/>
    <w:rsid w:val="00EA0FA0"/>
    <w:rsid w:val="00F57AA6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FD3B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D0FE3-C503-4871-B8BE-D08F33A7B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95A55-75B9-4FAA-A598-8747A7AAF2EF}"/>
</file>

<file path=customXml/itemProps3.xml><?xml version="1.0" encoding="utf-8"?>
<ds:datastoreItem xmlns:ds="http://schemas.openxmlformats.org/officeDocument/2006/customXml" ds:itemID="{C2267FAE-8DD4-4A65-9CA6-78B035F7B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368AA-AA30-4FBC-A11A-D9A8E0B6C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Leentvaar, Richard</cp:lastModifiedBy>
  <cp:revision>3</cp:revision>
  <cp:lastPrinted>2017-10-17T10:11:00Z</cp:lastPrinted>
  <dcterms:created xsi:type="dcterms:W3CDTF">2021-06-04T09:26:00Z</dcterms:created>
  <dcterms:modified xsi:type="dcterms:W3CDTF">2022-03-23T09:08:00Z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1416100</vt:r8>
  </property>
  <property fmtid="{D5CDD505-2E9C-101B-9397-08002B2CF9AE}" pid="4" name="_ExtendedDescription">
    <vt:lpwstr/>
  </property>
</Properties>
</file>